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DB" w:rsidRDefault="003221DB" w:rsidP="003221DB">
      <w:pPr>
        <w:pBdr>
          <w:bottom w:val="single" w:sz="12" w:space="1" w:color="auto"/>
        </w:pBdr>
        <w:rPr>
          <w:b/>
        </w:rPr>
      </w:pPr>
      <w:bookmarkStart w:id="0" w:name="_GoBack"/>
      <w:bookmarkEnd w:id="0"/>
    </w:p>
    <w:p w:rsidR="000778A7" w:rsidRPr="00803165" w:rsidRDefault="000778A7" w:rsidP="003221DB">
      <w:pPr>
        <w:rPr>
          <w:b/>
        </w:rPr>
      </w:pPr>
    </w:p>
    <w:p w:rsidR="000E3242" w:rsidRPr="000778A7" w:rsidRDefault="000E3242" w:rsidP="00B05D80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szCs w:val="24"/>
          <w:u w:val="single"/>
        </w:rPr>
      </w:pPr>
      <w:r w:rsidRPr="000778A7">
        <w:rPr>
          <w:rFonts w:cs="Tahoma"/>
          <w:b/>
          <w:szCs w:val="24"/>
          <w:u w:val="single"/>
        </w:rPr>
        <w:t>Welcome / Registration / Introductions</w:t>
      </w:r>
      <w:r w:rsidRPr="000778A7">
        <w:rPr>
          <w:rFonts w:cs="Tahoma"/>
          <w:b/>
          <w:szCs w:val="24"/>
        </w:rPr>
        <w:t xml:space="preserve"> (.5 hours)</w:t>
      </w:r>
    </w:p>
    <w:p w:rsidR="000778A7" w:rsidRPr="000778A7" w:rsidRDefault="000778A7" w:rsidP="000778A7">
      <w:pPr>
        <w:pStyle w:val="ListParagraph"/>
        <w:spacing w:after="0" w:line="240" w:lineRule="auto"/>
        <w:ind w:left="360"/>
        <w:rPr>
          <w:rFonts w:cs="Tahoma"/>
          <w:b/>
          <w:szCs w:val="24"/>
          <w:u w:val="single"/>
        </w:rPr>
      </w:pPr>
    </w:p>
    <w:p w:rsidR="000E3242" w:rsidRPr="000778A7" w:rsidRDefault="000E3242" w:rsidP="000E3242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Orientation of course</w:t>
      </w:r>
    </w:p>
    <w:p w:rsidR="000E3242" w:rsidRPr="000778A7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Overview</w:t>
      </w:r>
    </w:p>
    <w:p w:rsidR="000E3242" w:rsidRPr="000778A7" w:rsidRDefault="00F70CBD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Logistics</w:t>
      </w:r>
    </w:p>
    <w:p w:rsidR="000E3242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Course registration</w:t>
      </w:r>
    </w:p>
    <w:p w:rsidR="000778A7" w:rsidRPr="000778A7" w:rsidRDefault="000778A7" w:rsidP="000778A7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0E3242" w:rsidRPr="000778A7" w:rsidRDefault="000E3242" w:rsidP="000E3242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Student Introductions</w:t>
      </w:r>
    </w:p>
    <w:p w:rsidR="000E3242" w:rsidRPr="00F70CBD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F70CBD">
        <w:rPr>
          <w:rFonts w:cs="Tahoma"/>
          <w:szCs w:val="24"/>
        </w:rPr>
        <w:t>Name</w:t>
      </w:r>
      <w:r w:rsidR="00F70CBD" w:rsidRPr="00F70CBD">
        <w:rPr>
          <w:rFonts w:cs="Tahoma"/>
          <w:szCs w:val="24"/>
        </w:rPr>
        <w:t>/</w:t>
      </w:r>
      <w:r w:rsidRPr="00F70CBD">
        <w:rPr>
          <w:rFonts w:cs="Tahoma"/>
          <w:szCs w:val="24"/>
        </w:rPr>
        <w:t>Rank</w:t>
      </w:r>
      <w:r w:rsidR="00F70CBD">
        <w:rPr>
          <w:rFonts w:cs="Tahoma"/>
          <w:szCs w:val="24"/>
        </w:rPr>
        <w:t>/</w:t>
      </w:r>
      <w:r w:rsidRPr="00F70CBD">
        <w:rPr>
          <w:rFonts w:cs="Tahoma"/>
          <w:szCs w:val="24"/>
        </w:rPr>
        <w:t>Agency</w:t>
      </w:r>
    </w:p>
    <w:p w:rsidR="000E3242" w:rsidRPr="000778A7" w:rsidRDefault="00F70CBD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Current</w:t>
      </w:r>
      <w:r w:rsidR="000E3242" w:rsidRPr="000778A7">
        <w:rPr>
          <w:rFonts w:cs="Tahoma"/>
          <w:szCs w:val="24"/>
        </w:rPr>
        <w:t>/Length of assignment</w:t>
      </w:r>
    </w:p>
    <w:p w:rsidR="000E3242" w:rsidRPr="000778A7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Caseload</w:t>
      </w:r>
    </w:p>
    <w:p w:rsidR="000E3242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Previous assignments</w:t>
      </w:r>
    </w:p>
    <w:p w:rsidR="000778A7" w:rsidRPr="000778A7" w:rsidRDefault="000778A7" w:rsidP="000778A7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0778A7" w:rsidRPr="00F70CBD" w:rsidRDefault="00B05D80" w:rsidP="000778A7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szCs w:val="24"/>
        </w:rPr>
      </w:pPr>
      <w:r w:rsidRPr="00F70CBD">
        <w:rPr>
          <w:rFonts w:cs="Tahoma"/>
          <w:b/>
          <w:szCs w:val="24"/>
          <w:u w:val="single"/>
        </w:rPr>
        <w:t>Check Fraud Investigation</w:t>
      </w:r>
      <w:r w:rsidR="000E3242" w:rsidRPr="00F70CBD">
        <w:rPr>
          <w:rFonts w:cs="Tahoma"/>
          <w:b/>
          <w:szCs w:val="24"/>
        </w:rPr>
        <w:t xml:space="preserve"> </w:t>
      </w: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>Parts of a check (Front)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Maker</w:t>
      </w:r>
    </w:p>
    <w:p w:rsidR="008C7F94" w:rsidRDefault="008C7F94" w:rsidP="008C7F94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Types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Payee</w:t>
      </w:r>
    </w:p>
    <w:p w:rsidR="00B05D80" w:rsidRPr="008C7F94" w:rsidRDefault="00B05D80" w:rsidP="008C7F94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Dol</w:t>
      </w:r>
      <w:r w:rsidR="008C7F94">
        <w:rPr>
          <w:rFonts w:cs="Tahoma"/>
          <w:szCs w:val="24"/>
        </w:rPr>
        <w:t>lar amount in numbers and words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Drawee Bank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Memo line</w:t>
      </w:r>
    </w:p>
    <w:p w:rsidR="000778A7" w:rsidRPr="000778A7" w:rsidRDefault="000778A7" w:rsidP="000778A7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>Five points of negotiability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Bank name and account number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Date</w:t>
      </w:r>
      <w:r w:rsidRPr="000778A7">
        <w:rPr>
          <w:rFonts w:cs="Tahoma"/>
          <w:szCs w:val="24"/>
        </w:rPr>
        <w:tab/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Payee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Dollar amount in number and words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Signature</w:t>
      </w:r>
    </w:p>
    <w:p w:rsidR="000778A7" w:rsidRDefault="000778A7" w:rsidP="000778A7">
      <w:pPr>
        <w:pStyle w:val="ListParagraph"/>
        <w:spacing w:after="0" w:line="240" w:lineRule="auto"/>
        <w:ind w:left="1080"/>
        <w:jc w:val="both"/>
        <w:rPr>
          <w:rFonts w:cs="Tahoma"/>
          <w:szCs w:val="24"/>
        </w:rPr>
      </w:pPr>
    </w:p>
    <w:p w:rsidR="008C7F94" w:rsidRDefault="008C7F94" w:rsidP="000778A7">
      <w:pPr>
        <w:pStyle w:val="ListParagraph"/>
        <w:spacing w:after="0" w:line="240" w:lineRule="auto"/>
        <w:ind w:left="1080"/>
        <w:jc w:val="both"/>
        <w:rPr>
          <w:rFonts w:cs="Tahoma"/>
          <w:szCs w:val="24"/>
        </w:rPr>
      </w:pPr>
    </w:p>
    <w:p w:rsidR="008C7F94" w:rsidRPr="000778A7" w:rsidRDefault="008C7F94" w:rsidP="000778A7">
      <w:pPr>
        <w:pStyle w:val="ListParagraph"/>
        <w:spacing w:after="0" w:line="240" w:lineRule="auto"/>
        <w:ind w:left="1080"/>
        <w:jc w:val="both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lastRenderedPageBreak/>
        <w:t>Parts of a Check (Back)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tabs>
          <w:tab w:val="left" w:pos="720"/>
          <w:tab w:val="left" w:pos="2160"/>
          <w:tab w:val="left" w:pos="2880"/>
          <w:tab w:val="left" w:pos="3628"/>
        </w:tabs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Endorsement</w:t>
      </w:r>
    </w:p>
    <w:p w:rsidR="00B05D80" w:rsidRDefault="00B05D80" w:rsidP="00B05D80">
      <w:pPr>
        <w:pStyle w:val="ListParagraph"/>
        <w:numPr>
          <w:ilvl w:val="2"/>
          <w:numId w:val="21"/>
        </w:numPr>
        <w:tabs>
          <w:tab w:val="left" w:pos="720"/>
          <w:tab w:val="left" w:pos="2160"/>
          <w:tab w:val="left" w:pos="2880"/>
          <w:tab w:val="left" w:pos="3628"/>
        </w:tabs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Bank of First Deposit (BOFD) “spray”</w:t>
      </w:r>
    </w:p>
    <w:p w:rsidR="00F70CBD" w:rsidRPr="000778A7" w:rsidRDefault="00F70CBD" w:rsidP="00F70CBD">
      <w:pPr>
        <w:pStyle w:val="ListParagraph"/>
        <w:tabs>
          <w:tab w:val="left" w:pos="720"/>
          <w:tab w:val="left" w:pos="2160"/>
          <w:tab w:val="left" w:pos="2880"/>
          <w:tab w:val="left" w:pos="3628"/>
        </w:tabs>
        <w:spacing w:after="0" w:line="240" w:lineRule="auto"/>
        <w:ind w:left="1080"/>
        <w:jc w:val="both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tabs>
          <w:tab w:val="left" w:pos="1440"/>
          <w:tab w:val="left" w:pos="2160"/>
          <w:tab w:val="left" w:pos="2880"/>
          <w:tab w:val="left" w:pos="3628"/>
        </w:tabs>
        <w:spacing w:after="0" w:line="240" w:lineRule="auto"/>
        <w:jc w:val="both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>Additional Stamps and Endorsements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Teller Endorsements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="Tahoma"/>
          <w:szCs w:val="24"/>
        </w:rPr>
      </w:pPr>
      <w:r w:rsidRPr="000778A7">
        <w:rPr>
          <w:rFonts w:cs="Tahoma"/>
          <w:szCs w:val="24"/>
        </w:rPr>
        <w:t>Drawee Bank Endorsements</w:t>
      </w:r>
    </w:p>
    <w:p w:rsidR="008C7F94" w:rsidRPr="000778A7" w:rsidRDefault="008C7F94" w:rsidP="008C7F94">
      <w:pPr>
        <w:pStyle w:val="ListParagraph"/>
        <w:spacing w:after="0" w:line="240" w:lineRule="auto"/>
        <w:ind w:left="1080"/>
        <w:jc w:val="both"/>
        <w:rPr>
          <w:rFonts w:cs="Tahoma"/>
          <w:szCs w:val="24"/>
        </w:rPr>
      </w:pPr>
    </w:p>
    <w:p w:rsidR="00B05D80" w:rsidRPr="008C7F94" w:rsidRDefault="008C7F94" w:rsidP="008C7F94">
      <w:pPr>
        <w:pStyle w:val="ListParagraph"/>
        <w:numPr>
          <w:ilvl w:val="1"/>
          <w:numId w:val="21"/>
        </w:numPr>
        <w:rPr>
          <w:rFonts w:cs="Tahoma"/>
          <w:szCs w:val="24"/>
          <w:u w:val="single"/>
        </w:rPr>
      </w:pPr>
      <w:r>
        <w:rPr>
          <w:rFonts w:cs="Tahoma"/>
          <w:szCs w:val="24"/>
          <w:u w:val="single"/>
        </w:rPr>
        <w:t>T</w:t>
      </w:r>
      <w:r w:rsidR="00B05D80" w:rsidRPr="008C7F94">
        <w:rPr>
          <w:rFonts w:cs="Tahoma"/>
          <w:szCs w:val="24"/>
          <w:u w:val="single"/>
        </w:rPr>
        <w:t>ypes of Checks/Ownership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Personal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Business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Government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Bank issued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Automated Clearing House electronic transactions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Drafts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Travelers cheques</w:t>
      </w:r>
    </w:p>
    <w:p w:rsidR="000778A7" w:rsidRPr="000778A7" w:rsidRDefault="000778A7" w:rsidP="000778A7">
      <w:pPr>
        <w:pStyle w:val="ListParagraph"/>
        <w:spacing w:line="240" w:lineRule="auto"/>
        <w:ind w:left="1800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>Additional bank terms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 xml:space="preserve">Debit 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 xml:space="preserve">Credit </w:t>
      </w:r>
    </w:p>
    <w:p w:rsidR="00B05D80" w:rsidRPr="00F70CBD" w:rsidRDefault="00B05D80" w:rsidP="00F70CBD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Posting Date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Returned Item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Signature Cards</w:t>
      </w:r>
    </w:p>
    <w:p w:rsidR="00F70CBD" w:rsidRPr="000778A7" w:rsidRDefault="00F70CBD" w:rsidP="00F70CBD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>Bank Secrecy Act</w:t>
      </w:r>
    </w:p>
    <w:p w:rsidR="00B05D80" w:rsidRPr="00F70CBD" w:rsidRDefault="00B05D80" w:rsidP="00F70CBD">
      <w:pPr>
        <w:pStyle w:val="ListParagraph"/>
        <w:numPr>
          <w:ilvl w:val="4"/>
          <w:numId w:val="21"/>
        </w:numPr>
        <w:tabs>
          <w:tab w:val="clear" w:pos="1800"/>
        </w:tabs>
        <w:ind w:left="1080"/>
        <w:rPr>
          <w:rFonts w:cs="Tahoma"/>
          <w:szCs w:val="24"/>
        </w:rPr>
      </w:pPr>
      <w:r w:rsidRPr="00F70CBD">
        <w:rPr>
          <w:rFonts w:cs="Tahoma"/>
          <w:szCs w:val="24"/>
        </w:rPr>
        <w:t>Currency Transaction Reports</w:t>
      </w:r>
    </w:p>
    <w:p w:rsidR="00B05D80" w:rsidRPr="00F70CBD" w:rsidRDefault="00B05D80" w:rsidP="00F70CBD">
      <w:pPr>
        <w:pStyle w:val="ListParagraph"/>
        <w:numPr>
          <w:ilvl w:val="4"/>
          <w:numId w:val="21"/>
        </w:numPr>
        <w:tabs>
          <w:tab w:val="clear" w:pos="1800"/>
        </w:tabs>
        <w:spacing w:after="0" w:line="240" w:lineRule="auto"/>
        <w:ind w:left="1080"/>
        <w:rPr>
          <w:rFonts w:cs="Tahoma"/>
          <w:szCs w:val="24"/>
        </w:rPr>
      </w:pPr>
      <w:r w:rsidRPr="000778A7">
        <w:rPr>
          <w:rFonts w:cs="Tahoma"/>
          <w:szCs w:val="24"/>
        </w:rPr>
        <w:t>Suspicious Activity Reports</w:t>
      </w:r>
    </w:p>
    <w:p w:rsidR="00B05D80" w:rsidRPr="000778A7" w:rsidRDefault="00B05D80" w:rsidP="00F70CBD">
      <w:pPr>
        <w:pStyle w:val="ListParagraph"/>
        <w:numPr>
          <w:ilvl w:val="4"/>
          <w:numId w:val="21"/>
        </w:numPr>
        <w:tabs>
          <w:tab w:val="clear" w:pos="1800"/>
        </w:tabs>
        <w:spacing w:after="0" w:line="240" w:lineRule="auto"/>
        <w:ind w:left="1080"/>
        <w:rPr>
          <w:rFonts w:cs="Tahoma"/>
          <w:szCs w:val="24"/>
        </w:rPr>
      </w:pPr>
      <w:r w:rsidRPr="000778A7">
        <w:rPr>
          <w:rFonts w:cs="Tahoma"/>
          <w:szCs w:val="24"/>
        </w:rPr>
        <w:t xml:space="preserve">Monetary Instruments - $3000 or more </w:t>
      </w:r>
    </w:p>
    <w:p w:rsidR="000778A7" w:rsidRPr="000778A7" w:rsidRDefault="000778A7" w:rsidP="000778A7">
      <w:pPr>
        <w:pStyle w:val="ListParagraph"/>
        <w:spacing w:after="0" w:line="240" w:lineRule="auto"/>
        <w:ind w:left="2160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line="240" w:lineRule="auto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 xml:space="preserve">Check 21 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Substitute Checks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Electronic image processing</w:t>
      </w:r>
    </w:p>
    <w:p w:rsidR="000778A7" w:rsidRPr="000778A7" w:rsidRDefault="000778A7" w:rsidP="000778A7">
      <w:pPr>
        <w:pStyle w:val="ListParagraph"/>
        <w:spacing w:line="240" w:lineRule="auto"/>
        <w:ind w:left="2160"/>
        <w:rPr>
          <w:rFonts w:cs="Tahoma"/>
          <w:szCs w:val="24"/>
        </w:rPr>
      </w:pPr>
    </w:p>
    <w:p w:rsidR="00B05D80" w:rsidRPr="000778A7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0778A7">
        <w:rPr>
          <w:rFonts w:cs="Tahoma"/>
          <w:szCs w:val="24"/>
          <w:u w:val="single"/>
        </w:rPr>
        <w:t>Bank records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Statutory time limits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Housed in multiple locations</w:t>
      </w:r>
    </w:p>
    <w:p w:rsidR="00F70CBD" w:rsidRPr="000778A7" w:rsidRDefault="00F70CBD" w:rsidP="00F70CBD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B05D80" w:rsidRPr="00492065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492065">
        <w:rPr>
          <w:rFonts w:cs="Tahoma"/>
          <w:szCs w:val="24"/>
          <w:u w:val="single"/>
        </w:rPr>
        <w:t>Check Fraud Checklist</w:t>
      </w:r>
    </w:p>
    <w:p w:rsidR="00F70CBD" w:rsidRDefault="00B05D80" w:rsidP="00F70CBD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Review available information</w:t>
      </w:r>
    </w:p>
    <w:p w:rsidR="00F70CBD" w:rsidRDefault="00B05D80" w:rsidP="00F70CBD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F70CBD">
        <w:rPr>
          <w:rFonts w:cs="Tahoma"/>
          <w:szCs w:val="24"/>
        </w:rPr>
        <w:t>Search warrant</w:t>
      </w:r>
    </w:p>
    <w:p w:rsidR="00F70CBD" w:rsidRDefault="00B05D80" w:rsidP="00F70CBD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F70CBD">
        <w:rPr>
          <w:rFonts w:cs="Tahoma"/>
          <w:szCs w:val="24"/>
        </w:rPr>
        <w:t>Government code requests</w:t>
      </w:r>
    </w:p>
    <w:p w:rsidR="00B05D80" w:rsidRPr="00F70CBD" w:rsidRDefault="00B05D80" w:rsidP="00F70CBD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F70CBD">
        <w:rPr>
          <w:rFonts w:cs="Tahoma"/>
          <w:szCs w:val="24"/>
        </w:rPr>
        <w:t>Evidence code / foundation</w:t>
      </w:r>
    </w:p>
    <w:p w:rsidR="005F7129" w:rsidRDefault="005F7129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8C7F94" w:rsidRDefault="008C7F94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8C7F94" w:rsidRPr="000778A7" w:rsidRDefault="008C7F94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lastRenderedPageBreak/>
        <w:t>Elderly and dependent adult considerations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Does 368(d) PC apply to the investigation at hand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Elder support</w:t>
      </w:r>
    </w:p>
    <w:p w:rsidR="00F70CBD" w:rsidRPr="000778A7" w:rsidRDefault="00F70CBD" w:rsidP="00F70CBD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5F7129" w:rsidRDefault="008F3307" w:rsidP="00F70CBD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szCs w:val="24"/>
        </w:rPr>
      </w:pPr>
      <w:r w:rsidRPr="005F7129">
        <w:rPr>
          <w:rFonts w:cs="Tahoma"/>
          <w:b/>
          <w:szCs w:val="24"/>
          <w:u w:val="single"/>
        </w:rPr>
        <w:t>Credit Card Fraud Investigation</w:t>
      </w:r>
      <w:r w:rsidR="00F70CBD">
        <w:rPr>
          <w:rFonts w:cs="Tahoma"/>
          <w:b/>
          <w:szCs w:val="24"/>
        </w:rPr>
        <w:t xml:space="preserve"> </w:t>
      </w:r>
      <w:r w:rsidR="00F70CBD" w:rsidRPr="005F7129">
        <w:rPr>
          <w:rFonts w:cs="Tahoma"/>
          <w:b/>
          <w:szCs w:val="24"/>
        </w:rPr>
        <w:t xml:space="preserve"> </w:t>
      </w:r>
    </w:p>
    <w:p w:rsidR="00F70CBD" w:rsidRPr="005F7129" w:rsidRDefault="00F70CBD" w:rsidP="00F70CBD">
      <w:pPr>
        <w:pStyle w:val="ListParagraph"/>
        <w:spacing w:after="0" w:line="240" w:lineRule="auto"/>
        <w:ind w:left="360"/>
        <w:rPr>
          <w:rFonts w:cs="Tahoma"/>
          <w:b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Types of Credit Card Fraud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Unauthorized credit card transactions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Account take overs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Bust-outs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Skimmed Credit Cards</w:t>
      </w:r>
    </w:p>
    <w:p w:rsidR="005F7129" w:rsidRPr="000778A7" w:rsidRDefault="005F7129" w:rsidP="005F7129">
      <w:pPr>
        <w:pStyle w:val="ListParagraph"/>
        <w:spacing w:after="0" w:line="240" w:lineRule="auto"/>
        <w:ind w:left="216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Types of Cards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Credit Cards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Charge Cards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Debit Cards</w:t>
      </w:r>
    </w:p>
    <w:p w:rsidR="005F7129" w:rsidRPr="000778A7" w:rsidRDefault="005F7129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Players in a Credit Card Transaction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Cardholder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Merchant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Acquirer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Card Association</w:t>
      </w:r>
    </w:p>
    <w:p w:rsidR="008F330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Issuing Bank</w:t>
      </w:r>
    </w:p>
    <w:p w:rsidR="005F7129" w:rsidRPr="000778A7" w:rsidRDefault="005F7129" w:rsidP="005F7129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Victim of credit card fraud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Applicable Penal Code violations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Cardholder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Merchant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Acquirer / Third party processor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Card Association</w:t>
      </w:r>
    </w:p>
    <w:p w:rsidR="008F330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Issuing Bank</w:t>
      </w:r>
    </w:p>
    <w:p w:rsidR="005F7129" w:rsidRPr="000778A7" w:rsidRDefault="005F7129" w:rsidP="005F7129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Card Security Features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VISA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MasterCard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American Express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Discover Card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Other Card types</w:t>
      </w:r>
    </w:p>
    <w:p w:rsidR="008F330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Contact numbers for card associations/issuers</w:t>
      </w:r>
    </w:p>
    <w:p w:rsidR="005F7129" w:rsidRPr="000778A7" w:rsidRDefault="005F7129" w:rsidP="005F7129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Bank Statements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Generated monthly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Provide a picture of a victim’s spending pattern</w:t>
      </w:r>
    </w:p>
    <w:p w:rsidR="005F7129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8C7F94" w:rsidRDefault="008C7F94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8C7F94" w:rsidRPr="000778A7" w:rsidRDefault="008C7F94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lastRenderedPageBreak/>
        <w:t>Bank records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Statutory time limits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Housed in multiple locations</w:t>
      </w:r>
    </w:p>
    <w:p w:rsidR="005F7129" w:rsidRPr="000778A7" w:rsidRDefault="005F7129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Changes to the Credit Card industry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RFID – Radio Frequency Identification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Chip technology</w:t>
      </w:r>
    </w:p>
    <w:p w:rsidR="008F3307" w:rsidRPr="000778A7" w:rsidRDefault="008F3307" w:rsidP="008F3307">
      <w:pPr>
        <w:rPr>
          <w:rFonts w:cs="Tahoma"/>
          <w:szCs w:val="24"/>
        </w:rPr>
      </w:pP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Credit Card Fraud Checklist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Unauthorized Transactions Review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Multiple Access Cards found</w:t>
      </w:r>
    </w:p>
    <w:p w:rsidR="008F3307" w:rsidRPr="005F7129" w:rsidRDefault="008F3307" w:rsidP="008F3307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Elderly and dependent adult considerations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Does 368(d) PC apply to the investigation at hand</w:t>
      </w:r>
    </w:p>
    <w:p w:rsidR="008F3307" w:rsidRPr="000778A7" w:rsidRDefault="008F3307" w:rsidP="008F3307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Elder support</w:t>
      </w:r>
    </w:p>
    <w:p w:rsidR="00557CE8" w:rsidRPr="000778A7" w:rsidRDefault="00557CE8" w:rsidP="008F3307">
      <w:pPr>
        <w:pStyle w:val="ListParagraph"/>
        <w:spacing w:after="0" w:line="240" w:lineRule="auto"/>
        <w:ind w:left="360"/>
        <w:rPr>
          <w:rFonts w:cs="Tahoma"/>
          <w:szCs w:val="24"/>
        </w:rPr>
      </w:pPr>
    </w:p>
    <w:p w:rsidR="00B05D80" w:rsidRDefault="00B05D80" w:rsidP="00B05D80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szCs w:val="24"/>
        </w:rPr>
      </w:pPr>
      <w:r w:rsidRPr="005F7129">
        <w:rPr>
          <w:rFonts w:cs="Tahoma"/>
          <w:b/>
          <w:szCs w:val="24"/>
          <w:u w:val="single"/>
        </w:rPr>
        <w:t>Analyze the flow of a Real Estate Transaction</w:t>
      </w:r>
    </w:p>
    <w:p w:rsidR="005F7129" w:rsidRPr="005F7129" w:rsidRDefault="005F7129" w:rsidP="005F7129">
      <w:pPr>
        <w:pStyle w:val="ListParagraph"/>
        <w:spacing w:after="0" w:line="240" w:lineRule="auto"/>
        <w:ind w:left="360"/>
        <w:rPr>
          <w:rFonts w:cs="Tahoma"/>
          <w:b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 xml:space="preserve">Involved Parties 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Seller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Purchaser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Real Estate Agent/Broker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Mortgage Company (Lender)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Escrow Company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Title Company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Mortgage Servicer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 xml:space="preserve">Real Estate </w:t>
      </w:r>
    </w:p>
    <w:p w:rsidR="005F7129" w:rsidRPr="000778A7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Documentation</w:t>
      </w:r>
    </w:p>
    <w:p w:rsidR="00B05D80" w:rsidRPr="00412591" w:rsidRDefault="00412591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County Records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Document Locations</w:t>
      </w:r>
    </w:p>
    <w:p w:rsidR="005F7129" w:rsidRPr="000778A7" w:rsidRDefault="005F7129" w:rsidP="005F7129">
      <w:pPr>
        <w:pStyle w:val="ListParagraph"/>
        <w:spacing w:after="0" w:line="240" w:lineRule="auto"/>
        <w:ind w:left="216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Types of Real Estate Fraud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Forged Documents</w:t>
      </w:r>
    </w:p>
    <w:p w:rsidR="00B05D80" w:rsidRPr="00412591" w:rsidRDefault="00412591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Occupancy fraud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Silent Deeds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Loan fraud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Equity skimming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 xml:space="preserve">Short Sale Fraud </w:t>
      </w:r>
    </w:p>
    <w:p w:rsidR="005F7129" w:rsidRPr="000778A7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Law violations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Penal Code Sections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Government Code Sections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Civil Code Sections</w:t>
      </w:r>
    </w:p>
    <w:p w:rsidR="005F7129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8C7F94" w:rsidRDefault="008C7F94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8C7F94" w:rsidRPr="000778A7" w:rsidRDefault="008C7F94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color w:val="000000" w:themeColor="text1"/>
          <w:szCs w:val="24"/>
          <w:u w:val="single"/>
        </w:rPr>
      </w:pPr>
      <w:r w:rsidRPr="005F7129">
        <w:rPr>
          <w:rFonts w:cs="Tahoma"/>
          <w:color w:val="000000" w:themeColor="text1"/>
          <w:szCs w:val="24"/>
          <w:u w:val="single"/>
        </w:rPr>
        <w:lastRenderedPageBreak/>
        <w:t>Elderly and dependent adult considerations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Does 368(d) PC apply to the investigation at hand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Elder / Dependent Adult support</w:t>
      </w:r>
    </w:p>
    <w:p w:rsidR="005F7129" w:rsidRDefault="00B05D80" w:rsidP="008C7F94">
      <w:pPr>
        <w:pStyle w:val="ListParagraph"/>
        <w:numPr>
          <w:ilvl w:val="2"/>
          <w:numId w:val="21"/>
        </w:numPr>
        <w:rPr>
          <w:rFonts w:cs="Tahoma"/>
          <w:color w:val="000000" w:themeColor="text1"/>
          <w:szCs w:val="24"/>
        </w:rPr>
      </w:pPr>
      <w:r w:rsidRPr="00412591">
        <w:rPr>
          <w:rFonts w:cs="Tahoma"/>
          <w:color w:val="000000" w:themeColor="text1"/>
          <w:szCs w:val="24"/>
        </w:rPr>
        <w:t>Community outreach programs</w:t>
      </w:r>
    </w:p>
    <w:p w:rsidR="008C7F94" w:rsidRPr="008C7F94" w:rsidRDefault="008C7F94" w:rsidP="008C7F94">
      <w:pPr>
        <w:pStyle w:val="ListParagraph"/>
        <w:ind w:left="1080"/>
        <w:rPr>
          <w:rFonts w:cs="Tahoma"/>
          <w:color w:val="000000" w:themeColor="text1"/>
          <w:szCs w:val="24"/>
        </w:rPr>
      </w:pPr>
    </w:p>
    <w:p w:rsidR="00B05D80" w:rsidRDefault="00B05D80" w:rsidP="00B05D80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szCs w:val="24"/>
        </w:rPr>
      </w:pPr>
      <w:r w:rsidRPr="005F7129">
        <w:rPr>
          <w:rFonts w:cs="Tahoma"/>
          <w:b/>
          <w:szCs w:val="24"/>
          <w:u w:val="single"/>
        </w:rPr>
        <w:t>Internet Fraud Investigation</w:t>
      </w:r>
    </w:p>
    <w:p w:rsidR="005F7129" w:rsidRPr="005F7129" w:rsidRDefault="005F7129" w:rsidP="005F7129">
      <w:pPr>
        <w:pStyle w:val="ListParagraph"/>
        <w:spacing w:after="0" w:line="240" w:lineRule="auto"/>
        <w:ind w:left="360"/>
        <w:rPr>
          <w:rFonts w:cs="Tahoma"/>
          <w:b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Internet Devices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Cellular Phones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Tablets</w:t>
      </w:r>
    </w:p>
    <w:p w:rsidR="00B05D80" w:rsidRPr="00412591" w:rsidRDefault="00412591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Computers and Peripherals</w:t>
      </w:r>
    </w:p>
    <w:p w:rsidR="005F7129" w:rsidRPr="00412591" w:rsidRDefault="005F7129" w:rsidP="00412591">
      <w:pPr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Accessing the Internet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Dial up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 xml:space="preserve">DSL (Digital Subscriber Line) / Cable 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Fiber Optic Connections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Virtual Private Network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Cellular</w:t>
      </w:r>
    </w:p>
    <w:p w:rsidR="005F7129" w:rsidRPr="000778A7" w:rsidRDefault="005F7129" w:rsidP="005F7129">
      <w:pPr>
        <w:pStyle w:val="ListParagraph"/>
        <w:spacing w:after="0" w:line="240" w:lineRule="auto"/>
        <w:ind w:left="216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Information captured when accessing the internet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Network adapters are required to access the internet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IP Address of computer accessing the website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Internet browser information</w:t>
      </w:r>
    </w:p>
    <w:p w:rsidR="005F7129" w:rsidRPr="000778A7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Internet Crimes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Identity theft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New account opening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Unauthorized credit card use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Work at home scams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Email phishing</w:t>
      </w:r>
    </w:p>
    <w:p w:rsidR="005F7129" w:rsidRPr="000778A7" w:rsidRDefault="005F7129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Voice Over IP (VOIP)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Callers demanding money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Technology used to commit crime</w:t>
      </w:r>
    </w:p>
    <w:p w:rsidR="005F7129" w:rsidRPr="000778A7" w:rsidRDefault="005F7129" w:rsidP="005F7129">
      <w:pPr>
        <w:pStyle w:val="ListParagraph"/>
        <w:spacing w:after="0" w:line="240" w:lineRule="auto"/>
        <w:ind w:left="216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color w:val="000000" w:themeColor="text1"/>
          <w:szCs w:val="24"/>
          <w:u w:val="single"/>
        </w:rPr>
      </w:pPr>
      <w:r w:rsidRPr="005F7129">
        <w:rPr>
          <w:rFonts w:cs="Tahoma"/>
          <w:color w:val="000000" w:themeColor="text1"/>
          <w:szCs w:val="24"/>
          <w:u w:val="single"/>
        </w:rPr>
        <w:t>Elderly and dependent adult considerations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Does 368(d) PC apply to the investigation at hand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Elder / Dependent Adult support</w:t>
      </w:r>
    </w:p>
    <w:p w:rsidR="00412591" w:rsidRPr="008C7F94" w:rsidRDefault="008C7F94" w:rsidP="008C7F94">
      <w:pPr>
        <w:rPr>
          <w:rFonts w:cs="Tahoma"/>
          <w:color w:val="000000" w:themeColor="text1"/>
          <w:szCs w:val="24"/>
        </w:rPr>
      </w:pPr>
      <w:r>
        <w:rPr>
          <w:rFonts w:cs="Tahoma"/>
          <w:color w:val="000000" w:themeColor="text1"/>
          <w:szCs w:val="24"/>
        </w:rPr>
        <w:br w:type="page"/>
      </w:r>
    </w:p>
    <w:p w:rsidR="00B05D80" w:rsidRDefault="00412591" w:rsidP="00B05D80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  </w:t>
      </w:r>
      <w:r w:rsidR="00B05D80" w:rsidRPr="005F7129">
        <w:rPr>
          <w:rFonts w:cs="Tahoma"/>
          <w:b/>
          <w:szCs w:val="24"/>
          <w:u w:val="single"/>
        </w:rPr>
        <w:t>Organize a Financial Crimes Investigations Case for Filing</w:t>
      </w:r>
      <w:r>
        <w:rPr>
          <w:rFonts w:cs="Tahoma"/>
          <w:b/>
          <w:szCs w:val="24"/>
        </w:rPr>
        <w:t xml:space="preserve"> </w:t>
      </w:r>
    </w:p>
    <w:p w:rsidR="005F7129" w:rsidRPr="005F7129" w:rsidRDefault="005F7129" w:rsidP="005F7129">
      <w:pPr>
        <w:pStyle w:val="ListParagraph"/>
        <w:spacing w:after="0" w:line="240" w:lineRule="auto"/>
        <w:ind w:left="360"/>
        <w:rPr>
          <w:rFonts w:cs="Tahoma"/>
          <w:b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Proceeding with an investigation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Determine who the victim is</w:t>
      </w:r>
    </w:p>
    <w:p w:rsidR="00B05D80" w:rsidRPr="000778A7" w:rsidRDefault="00412591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Vi</w:t>
      </w:r>
      <w:r w:rsidR="00B05D80" w:rsidRPr="000778A7">
        <w:rPr>
          <w:rFonts w:cs="Tahoma"/>
          <w:szCs w:val="24"/>
        </w:rPr>
        <w:t>ctim participation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Evidence Availability</w:t>
      </w:r>
    </w:p>
    <w:p w:rsidR="005F7129" w:rsidRPr="000778A7" w:rsidRDefault="005F7129" w:rsidP="005F7129">
      <w:pPr>
        <w:pStyle w:val="ListParagraph"/>
        <w:spacing w:after="0" w:line="240" w:lineRule="auto"/>
        <w:ind w:left="216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Private Sector Support</w:t>
      </w:r>
    </w:p>
    <w:p w:rsidR="00B05D80" w:rsidRPr="00412591" w:rsidRDefault="00412591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Financial Institutions</w:t>
      </w:r>
    </w:p>
    <w:p w:rsidR="00B05D80" w:rsidRPr="00412591" w:rsidRDefault="00412591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Professional Associations</w:t>
      </w:r>
    </w:p>
    <w:p w:rsidR="005F7129" w:rsidRDefault="00B05D80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Real Estate Agents / Escrow Companies</w:t>
      </w:r>
    </w:p>
    <w:p w:rsidR="008C7F94" w:rsidRPr="00412591" w:rsidRDefault="008C7F94" w:rsidP="008C7F94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Obtaining Information Without a Search Warrant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Search Warrant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State laws requiring release of information</w:t>
      </w:r>
    </w:p>
    <w:p w:rsidR="00B05D80" w:rsidRPr="00412591" w:rsidRDefault="00B05D80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Financial Crimes Enforcement Network (FinCE</w:t>
      </w:r>
      <w:r w:rsidR="00412591">
        <w:rPr>
          <w:rFonts w:cs="Tahoma"/>
          <w:szCs w:val="24"/>
        </w:rPr>
        <w:t>N)</w:t>
      </w:r>
    </w:p>
    <w:p w:rsidR="005F7129" w:rsidRPr="000778A7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Federal agency assistance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Federal Bureau of Investigation</w:t>
      </w:r>
    </w:p>
    <w:p w:rsidR="00B05D80" w:rsidRPr="00412591" w:rsidRDefault="00412591" w:rsidP="00412591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US Secret Service</w:t>
      </w:r>
    </w:p>
    <w:p w:rsidR="00B05D80" w:rsidRPr="008C7F94" w:rsidRDefault="008C7F94" w:rsidP="008C7F94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>
        <w:rPr>
          <w:rFonts w:cs="Tahoma"/>
          <w:szCs w:val="24"/>
        </w:rPr>
        <w:t>US Postal Inspection Service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US Marshall’s Service</w:t>
      </w:r>
    </w:p>
    <w:p w:rsidR="005F7129" w:rsidRPr="000778A7" w:rsidRDefault="005F7129" w:rsidP="005F7129">
      <w:pPr>
        <w:pStyle w:val="ListParagraph"/>
        <w:spacing w:after="0" w:line="240" w:lineRule="auto"/>
        <w:ind w:left="180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Working with the local District Attorney’s Office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Meet with District Attorney to file case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Update the District Attorney with progress on case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Laying foundation for evidence</w:t>
      </w:r>
    </w:p>
    <w:p w:rsidR="005F7129" w:rsidRPr="000778A7" w:rsidRDefault="005F7129" w:rsidP="005F7129">
      <w:pPr>
        <w:pStyle w:val="ListParagraph"/>
        <w:spacing w:after="0" w:line="240" w:lineRule="auto"/>
        <w:ind w:left="1440"/>
        <w:rPr>
          <w:rFonts w:cs="Tahoma"/>
          <w:szCs w:val="24"/>
        </w:rPr>
      </w:pPr>
    </w:p>
    <w:p w:rsidR="00B05D80" w:rsidRPr="005F7129" w:rsidRDefault="00B05D80" w:rsidP="00B05D80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szCs w:val="24"/>
          <w:u w:val="single"/>
        </w:rPr>
      </w:pPr>
      <w:r w:rsidRPr="005F7129">
        <w:rPr>
          <w:rFonts w:cs="Tahoma"/>
          <w:szCs w:val="24"/>
          <w:u w:val="single"/>
        </w:rPr>
        <w:t>Law Violations</w:t>
      </w:r>
    </w:p>
    <w:p w:rsidR="00B05D80" w:rsidRPr="000778A7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Identify appropriate violations to the following types of crimes</w:t>
      </w:r>
    </w:p>
    <w:p w:rsidR="00B05D80" w:rsidRDefault="00B05D80" w:rsidP="00B05D80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szCs w:val="24"/>
        </w:rPr>
      </w:pPr>
      <w:r w:rsidRPr="000778A7">
        <w:rPr>
          <w:rFonts w:cs="Tahoma"/>
          <w:szCs w:val="24"/>
        </w:rPr>
        <w:t>Determine whether state filing is more appropriate the Federal filing</w:t>
      </w:r>
    </w:p>
    <w:p w:rsidR="005F7129" w:rsidRPr="000778A7" w:rsidRDefault="005F7129" w:rsidP="005F7129">
      <w:pPr>
        <w:pStyle w:val="ListParagraph"/>
        <w:spacing w:after="0" w:line="240" w:lineRule="auto"/>
        <w:ind w:left="1080"/>
        <w:rPr>
          <w:rFonts w:cs="Tahoma"/>
          <w:szCs w:val="24"/>
        </w:rPr>
      </w:pPr>
    </w:p>
    <w:p w:rsidR="00B05D80" w:rsidRPr="005F7129" w:rsidRDefault="00B05D80" w:rsidP="00D3077F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color w:val="000000" w:themeColor="text1"/>
          <w:szCs w:val="24"/>
          <w:u w:val="single"/>
        </w:rPr>
      </w:pPr>
      <w:r w:rsidRPr="005F7129">
        <w:rPr>
          <w:rFonts w:cs="Tahoma"/>
          <w:color w:val="000000" w:themeColor="text1"/>
          <w:szCs w:val="24"/>
          <w:u w:val="single"/>
        </w:rPr>
        <w:t>Elderly and dependent adult considerations</w:t>
      </w:r>
    </w:p>
    <w:p w:rsidR="00B05D80" w:rsidRPr="000778A7" w:rsidRDefault="00B05D80" w:rsidP="00D3077F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Does 368(d) PC apply to the investigation at hand</w:t>
      </w:r>
    </w:p>
    <w:p w:rsidR="00B05D80" w:rsidRPr="000778A7" w:rsidRDefault="00B05D80" w:rsidP="00D3077F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Elder / Dependent Adult support</w:t>
      </w:r>
    </w:p>
    <w:p w:rsidR="000E3242" w:rsidRPr="000778A7" w:rsidRDefault="000E3242" w:rsidP="000E3242">
      <w:pPr>
        <w:rPr>
          <w:rFonts w:cs="Tahoma"/>
          <w:color w:val="000000" w:themeColor="text1"/>
          <w:szCs w:val="24"/>
        </w:rPr>
      </w:pPr>
    </w:p>
    <w:p w:rsidR="008C7F94" w:rsidRDefault="008C7F94">
      <w:pPr>
        <w:rPr>
          <w:rFonts w:cs="Tahoma"/>
          <w:b/>
          <w:color w:val="000000" w:themeColor="text1"/>
          <w:szCs w:val="24"/>
          <w:u w:val="single"/>
        </w:rPr>
      </w:pPr>
      <w:r>
        <w:rPr>
          <w:rFonts w:cs="Tahoma"/>
          <w:b/>
          <w:color w:val="000000" w:themeColor="text1"/>
          <w:szCs w:val="24"/>
          <w:u w:val="single"/>
        </w:rPr>
        <w:br w:type="page"/>
      </w:r>
    </w:p>
    <w:p w:rsidR="000E3242" w:rsidRDefault="000E3242" w:rsidP="000E3242">
      <w:pPr>
        <w:pStyle w:val="ListParagraph"/>
        <w:numPr>
          <w:ilvl w:val="0"/>
          <w:numId w:val="21"/>
        </w:numPr>
        <w:spacing w:after="0" w:line="240" w:lineRule="auto"/>
        <w:rPr>
          <w:rFonts w:cs="Tahoma"/>
          <w:b/>
          <w:color w:val="000000" w:themeColor="text1"/>
          <w:szCs w:val="24"/>
        </w:rPr>
      </w:pPr>
      <w:r w:rsidRPr="005F7129">
        <w:rPr>
          <w:rFonts w:cs="Tahoma"/>
          <w:b/>
          <w:color w:val="000000" w:themeColor="text1"/>
          <w:szCs w:val="24"/>
          <w:u w:val="single"/>
        </w:rPr>
        <w:t>Conclusion</w:t>
      </w:r>
    </w:p>
    <w:p w:rsidR="005F7129" w:rsidRPr="005F7129" w:rsidRDefault="005F7129" w:rsidP="005F7129">
      <w:pPr>
        <w:pStyle w:val="ListParagraph"/>
        <w:spacing w:after="0" w:line="240" w:lineRule="auto"/>
        <w:ind w:left="360"/>
        <w:rPr>
          <w:rFonts w:cs="Tahoma"/>
          <w:b/>
          <w:color w:val="000000" w:themeColor="text1"/>
          <w:szCs w:val="24"/>
        </w:rPr>
      </w:pPr>
    </w:p>
    <w:p w:rsidR="000E3242" w:rsidRPr="005F7129" w:rsidRDefault="000E3242" w:rsidP="000E3242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color w:val="000000" w:themeColor="text1"/>
          <w:szCs w:val="24"/>
          <w:u w:val="single"/>
        </w:rPr>
      </w:pPr>
      <w:r w:rsidRPr="005F7129">
        <w:rPr>
          <w:rFonts w:cs="Tahoma"/>
          <w:color w:val="000000" w:themeColor="text1"/>
          <w:szCs w:val="24"/>
          <w:u w:val="single"/>
        </w:rPr>
        <w:t>Case reviews / Assessment</w:t>
      </w:r>
    </w:p>
    <w:p w:rsidR="000E3242" w:rsidRPr="000778A7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Learning points from each case</w:t>
      </w:r>
    </w:p>
    <w:p w:rsidR="000E3242" w:rsidRPr="000778A7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Disposition on each case presented</w:t>
      </w:r>
    </w:p>
    <w:p w:rsidR="000E3242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Evaluation</w:t>
      </w:r>
    </w:p>
    <w:p w:rsidR="005F7129" w:rsidRPr="000778A7" w:rsidRDefault="005F7129" w:rsidP="005F7129">
      <w:pPr>
        <w:pStyle w:val="ListParagraph"/>
        <w:spacing w:after="0" w:line="240" w:lineRule="auto"/>
        <w:ind w:left="1080"/>
        <w:rPr>
          <w:rFonts w:cs="Tahoma"/>
          <w:color w:val="000000" w:themeColor="text1"/>
          <w:szCs w:val="24"/>
        </w:rPr>
      </w:pPr>
    </w:p>
    <w:p w:rsidR="000E3242" w:rsidRPr="005F7129" w:rsidRDefault="000E3242" w:rsidP="000E3242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color w:val="000000" w:themeColor="text1"/>
          <w:szCs w:val="24"/>
          <w:u w:val="single"/>
        </w:rPr>
      </w:pPr>
      <w:r w:rsidRPr="005F7129">
        <w:rPr>
          <w:rFonts w:cs="Tahoma"/>
          <w:color w:val="000000" w:themeColor="text1"/>
          <w:szCs w:val="24"/>
          <w:u w:val="single"/>
        </w:rPr>
        <w:t>Course Evaluations</w:t>
      </w:r>
    </w:p>
    <w:p w:rsidR="000E3242" w:rsidRPr="000778A7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POST evaluations</w:t>
      </w:r>
    </w:p>
    <w:p w:rsidR="000E3242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In-house evaluations</w:t>
      </w:r>
    </w:p>
    <w:p w:rsidR="005F7129" w:rsidRPr="000778A7" w:rsidRDefault="005F7129" w:rsidP="005F7129">
      <w:pPr>
        <w:pStyle w:val="ListParagraph"/>
        <w:spacing w:after="0" w:line="240" w:lineRule="auto"/>
        <w:ind w:left="1080"/>
        <w:rPr>
          <w:rFonts w:cs="Tahoma"/>
          <w:color w:val="000000" w:themeColor="text1"/>
          <w:szCs w:val="24"/>
        </w:rPr>
      </w:pPr>
    </w:p>
    <w:p w:rsidR="000E3242" w:rsidRPr="005F7129" w:rsidRDefault="000E3242" w:rsidP="000E3242">
      <w:pPr>
        <w:pStyle w:val="ListParagraph"/>
        <w:numPr>
          <w:ilvl w:val="1"/>
          <w:numId w:val="21"/>
        </w:numPr>
        <w:spacing w:after="0" w:line="240" w:lineRule="auto"/>
        <w:rPr>
          <w:rFonts w:cs="Tahoma"/>
          <w:color w:val="000000" w:themeColor="text1"/>
          <w:szCs w:val="24"/>
          <w:u w:val="single"/>
        </w:rPr>
      </w:pPr>
      <w:r w:rsidRPr="005F7129">
        <w:rPr>
          <w:rFonts w:cs="Tahoma"/>
          <w:color w:val="000000" w:themeColor="text1"/>
          <w:szCs w:val="24"/>
          <w:u w:val="single"/>
        </w:rPr>
        <w:t>Closing remarks</w:t>
      </w:r>
    </w:p>
    <w:p w:rsidR="000E3242" w:rsidRPr="000778A7" w:rsidRDefault="000E3242" w:rsidP="000E3242">
      <w:pPr>
        <w:pStyle w:val="ListParagraph"/>
        <w:numPr>
          <w:ilvl w:val="2"/>
          <w:numId w:val="21"/>
        </w:numPr>
        <w:spacing w:after="0" w:line="240" w:lineRule="auto"/>
        <w:rPr>
          <w:rFonts w:cs="Tahoma"/>
          <w:color w:val="000000" w:themeColor="text1"/>
          <w:szCs w:val="24"/>
        </w:rPr>
      </w:pPr>
      <w:r w:rsidRPr="000778A7">
        <w:rPr>
          <w:rFonts w:cs="Tahoma"/>
          <w:color w:val="000000" w:themeColor="text1"/>
          <w:szCs w:val="24"/>
        </w:rPr>
        <w:t>Certificates</w:t>
      </w:r>
    </w:p>
    <w:p w:rsidR="00803165" w:rsidRPr="005F7129" w:rsidRDefault="000E3242" w:rsidP="005F7129">
      <w:pPr>
        <w:pStyle w:val="ListParagraph"/>
        <w:numPr>
          <w:ilvl w:val="2"/>
          <w:numId w:val="21"/>
        </w:numPr>
        <w:spacing w:after="0" w:line="240" w:lineRule="auto"/>
        <w:ind w:left="360" w:firstLine="360"/>
        <w:rPr>
          <w:rFonts w:cs="Tahoma"/>
          <w:b/>
          <w:szCs w:val="24"/>
        </w:rPr>
      </w:pPr>
      <w:r w:rsidRPr="005F7129">
        <w:rPr>
          <w:rFonts w:cs="Tahoma"/>
          <w:color w:val="000000" w:themeColor="text1"/>
          <w:szCs w:val="24"/>
        </w:rPr>
        <w:t>Networking discussion</w:t>
      </w:r>
    </w:p>
    <w:sectPr w:rsidR="00803165" w:rsidRPr="005F7129" w:rsidSect="00803165">
      <w:footerReference w:type="default" r:id="rId8"/>
      <w:headerReference w:type="firs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BD" w:rsidRDefault="00F70CBD" w:rsidP="00BB572C">
      <w:r>
        <w:separator/>
      </w:r>
    </w:p>
  </w:endnote>
  <w:endnote w:type="continuationSeparator" w:id="0">
    <w:p w:rsidR="00F70CBD" w:rsidRDefault="00F70CBD" w:rsidP="00BB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  <w:szCs w:val="24"/>
      </w:rPr>
      <w:id w:val="237434411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70CBD" w:rsidRPr="00803165" w:rsidRDefault="00F70CBD" w:rsidP="00412591">
            <w:pPr>
              <w:pStyle w:val="Footer"/>
              <w:tabs>
                <w:tab w:val="clear" w:pos="9360"/>
              </w:tabs>
              <w:ind w:left="-720"/>
              <w:rPr>
                <w:rFonts w:cs="Tahoma"/>
                <w:szCs w:val="24"/>
              </w:rPr>
            </w:pPr>
            <w:r w:rsidRPr="00B05D80">
              <w:rPr>
                <w:rFonts w:cs="Tahoma"/>
                <w:b/>
                <w:sz w:val="20"/>
                <w:szCs w:val="20"/>
              </w:rPr>
              <w:t xml:space="preserve">Revised </w:t>
            </w:r>
            <w:r w:rsidR="00412591">
              <w:rPr>
                <w:rFonts w:cs="Tahoma"/>
                <w:b/>
                <w:sz w:val="20"/>
                <w:szCs w:val="20"/>
              </w:rPr>
              <w:t>11</w:t>
            </w:r>
            <w:r w:rsidRPr="00B05D80">
              <w:rPr>
                <w:rFonts w:cs="Tahoma"/>
                <w:b/>
                <w:sz w:val="20"/>
                <w:szCs w:val="20"/>
              </w:rPr>
              <w:t>/1</w:t>
            </w:r>
            <w:r w:rsidR="00412591">
              <w:rPr>
                <w:rFonts w:cs="Tahoma"/>
                <w:b/>
                <w:sz w:val="20"/>
                <w:szCs w:val="20"/>
              </w:rPr>
              <w:t>8</w:t>
            </w:r>
            <w:r w:rsidRPr="00B05D80">
              <w:rPr>
                <w:rFonts w:cs="Tahoma"/>
                <w:b/>
                <w:sz w:val="20"/>
                <w:szCs w:val="20"/>
              </w:rPr>
              <w:t>/201</w:t>
            </w:r>
            <w:r w:rsidR="00412591">
              <w:rPr>
                <w:rFonts w:cs="Tahoma"/>
                <w:b/>
                <w:sz w:val="20"/>
                <w:szCs w:val="20"/>
              </w:rPr>
              <w:t>9</w:t>
            </w:r>
            <w:r w:rsidRPr="00803165">
              <w:rPr>
                <w:rFonts w:cs="Tahoma"/>
                <w:szCs w:val="24"/>
              </w:rPr>
              <w:t xml:space="preserve"> </w:t>
            </w:r>
            <w:r w:rsidRPr="00803165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="00412591">
              <w:rPr>
                <w:rFonts w:cs="Tahoma"/>
                <w:szCs w:val="24"/>
              </w:rPr>
              <w:tab/>
            </w:r>
            <w:r w:rsidRPr="00803165">
              <w:rPr>
                <w:rFonts w:cs="Tahoma"/>
                <w:szCs w:val="24"/>
              </w:rPr>
              <w:t xml:space="preserve">Page </w:t>
            </w:r>
            <w:r w:rsidRPr="00803165">
              <w:rPr>
                <w:rFonts w:cs="Tahoma"/>
                <w:b/>
                <w:szCs w:val="24"/>
              </w:rPr>
              <w:fldChar w:fldCharType="begin"/>
            </w:r>
            <w:r w:rsidRPr="00803165">
              <w:rPr>
                <w:rFonts w:cs="Tahoma"/>
                <w:b/>
                <w:szCs w:val="24"/>
              </w:rPr>
              <w:instrText xml:space="preserve"> PAGE </w:instrText>
            </w:r>
            <w:r w:rsidRPr="00803165">
              <w:rPr>
                <w:rFonts w:cs="Tahoma"/>
                <w:b/>
                <w:szCs w:val="24"/>
              </w:rPr>
              <w:fldChar w:fldCharType="separate"/>
            </w:r>
            <w:r w:rsidR="0048505E">
              <w:rPr>
                <w:rFonts w:cs="Tahoma"/>
                <w:b/>
                <w:noProof/>
                <w:szCs w:val="24"/>
              </w:rPr>
              <w:t>2</w:t>
            </w:r>
            <w:r w:rsidRPr="00803165">
              <w:rPr>
                <w:rFonts w:cs="Tahoma"/>
                <w:b/>
                <w:szCs w:val="24"/>
              </w:rPr>
              <w:fldChar w:fldCharType="end"/>
            </w:r>
            <w:r w:rsidRPr="00803165">
              <w:rPr>
                <w:rFonts w:cs="Tahoma"/>
                <w:szCs w:val="24"/>
              </w:rPr>
              <w:t xml:space="preserve"> of </w:t>
            </w:r>
            <w:r w:rsidRPr="00803165">
              <w:rPr>
                <w:rFonts w:cs="Tahoma"/>
                <w:b/>
                <w:szCs w:val="24"/>
              </w:rPr>
              <w:fldChar w:fldCharType="begin"/>
            </w:r>
            <w:r w:rsidRPr="00803165">
              <w:rPr>
                <w:rFonts w:cs="Tahoma"/>
                <w:b/>
                <w:szCs w:val="24"/>
              </w:rPr>
              <w:instrText xml:space="preserve"> NUMPAGES  </w:instrText>
            </w:r>
            <w:r w:rsidRPr="00803165">
              <w:rPr>
                <w:rFonts w:cs="Tahoma"/>
                <w:b/>
                <w:szCs w:val="24"/>
              </w:rPr>
              <w:fldChar w:fldCharType="separate"/>
            </w:r>
            <w:r w:rsidR="0048505E">
              <w:rPr>
                <w:rFonts w:cs="Tahoma"/>
                <w:b/>
                <w:noProof/>
                <w:szCs w:val="24"/>
              </w:rPr>
              <w:t>7</w:t>
            </w:r>
            <w:r w:rsidRPr="00803165">
              <w:rPr>
                <w:rFonts w:cs="Tahoma"/>
                <w:b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BD" w:rsidRDefault="00F70CBD">
    <w:pPr>
      <w:pStyle w:val="Footer"/>
    </w:pPr>
    <w:r w:rsidRPr="00B05D80">
      <w:rPr>
        <w:rFonts w:cs="Tahoma"/>
        <w:b/>
        <w:sz w:val="20"/>
        <w:szCs w:val="20"/>
      </w:rPr>
      <w:t xml:space="preserve">Revised </w:t>
    </w:r>
    <w:r>
      <w:rPr>
        <w:rFonts w:cs="Tahoma"/>
        <w:b/>
        <w:sz w:val="20"/>
        <w:szCs w:val="20"/>
      </w:rPr>
      <w:t>9</w:t>
    </w:r>
    <w:r w:rsidRPr="00B05D80">
      <w:rPr>
        <w:rFonts w:cs="Tahoma"/>
        <w:b/>
        <w:sz w:val="20"/>
        <w:szCs w:val="20"/>
      </w:rPr>
      <w:t>/1/2014</w:t>
    </w:r>
    <w:r w:rsidRPr="00803165">
      <w:rPr>
        <w:rFonts w:cs="Tahoma"/>
        <w:szCs w:val="24"/>
      </w:rPr>
      <w:t xml:space="preserve"> </w:t>
    </w:r>
    <w:r>
      <w:rPr>
        <w:rFonts w:cs="Tahoma"/>
        <w:szCs w:val="24"/>
      </w:rPr>
      <w:t>– (</w:t>
    </w:r>
    <w:r w:rsidRPr="00B05D80">
      <w:rPr>
        <w:rFonts w:cs="Tahoma"/>
        <w:b/>
        <w:sz w:val="18"/>
        <w:szCs w:val="18"/>
      </w:rPr>
      <w:t>MUTUC MICC 8</w:t>
    </w:r>
    <w:r>
      <w:rPr>
        <w:rFonts w:cs="Tahoma"/>
        <w:b/>
        <w:sz w:val="18"/>
        <w:szCs w:val="18"/>
      </w:rPr>
      <w:t>)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8505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8505E">
      <w:rPr>
        <w:b/>
        <w:noProof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BD" w:rsidRDefault="00F70CBD" w:rsidP="00BB572C">
      <w:r>
        <w:separator/>
      </w:r>
    </w:p>
  </w:footnote>
  <w:footnote w:type="continuationSeparator" w:id="0">
    <w:p w:rsidR="00F70CBD" w:rsidRDefault="00F70CBD" w:rsidP="00BB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BD" w:rsidRPr="00DE18B3" w:rsidRDefault="00F70CBD" w:rsidP="00803165">
    <w:pPr>
      <w:pStyle w:val="Title"/>
      <w:rPr>
        <w:rFonts w:ascii="Calibri" w:hAnsi="Calibri" w:cs="Calibri"/>
        <w:sz w:val="32"/>
        <w:szCs w:val="32"/>
      </w:rPr>
    </w:pPr>
    <w:r w:rsidRPr="00DE18B3">
      <w:rPr>
        <w:rFonts w:ascii="Calibri" w:hAnsi="Calibri" w:cs="Calibri"/>
        <w:sz w:val="32"/>
        <w:szCs w:val="32"/>
      </w:rPr>
      <w:t>P.O.S.T. Institute of Criminal Investigations</w:t>
    </w:r>
  </w:p>
  <w:p w:rsidR="00F70CBD" w:rsidRDefault="00F70CBD" w:rsidP="00803165">
    <w:pPr>
      <w:pStyle w:val="Subtitle"/>
      <w:rPr>
        <w:rFonts w:ascii="Calibri" w:hAnsi="Calibri" w:cs="Calibri"/>
        <w:sz w:val="44"/>
        <w:szCs w:val="44"/>
      </w:rPr>
    </w:pPr>
    <w:r>
      <w:rPr>
        <w:rFonts w:ascii="Calibri" w:hAnsi="Calibri" w:cs="Calibri"/>
        <w:sz w:val="44"/>
        <w:szCs w:val="44"/>
      </w:rPr>
      <w:t xml:space="preserve">FINANCIAL CRIMES INVESTIGATIONS </w:t>
    </w:r>
    <w:r w:rsidRPr="00DE18B3">
      <w:rPr>
        <w:rFonts w:ascii="Calibri" w:hAnsi="Calibri" w:cs="Calibri"/>
        <w:sz w:val="44"/>
        <w:szCs w:val="44"/>
      </w:rPr>
      <w:t>COURSE</w:t>
    </w:r>
  </w:p>
  <w:p w:rsidR="00F70CBD" w:rsidRDefault="00F70CBD" w:rsidP="00803165">
    <w:pPr>
      <w:pStyle w:val="Subtitle"/>
      <w:rPr>
        <w:rFonts w:ascii="Calibri" w:hAnsi="Calibri" w:cs="Calibri"/>
        <w:sz w:val="44"/>
        <w:szCs w:val="44"/>
      </w:rPr>
    </w:pPr>
    <w:r>
      <w:rPr>
        <w:rFonts w:ascii="Calibri" w:hAnsi="Calibri" w:cs="Calibri"/>
        <w:sz w:val="44"/>
        <w:szCs w:val="44"/>
      </w:rPr>
      <w:t>EXPANDED COURSE OUTLINE (40 Hours)</w:t>
    </w:r>
  </w:p>
  <w:p w:rsidR="00F70CBD" w:rsidRPr="00997702" w:rsidRDefault="00F70CBD" w:rsidP="00803165">
    <w:pPr>
      <w:pStyle w:val="Subtitle"/>
      <w:rPr>
        <w:rFonts w:ascii="Calibri" w:hAnsi="Calibri" w:cs="Calibri"/>
        <w:szCs w:val="36"/>
      </w:rPr>
    </w:pPr>
    <w:r w:rsidRPr="00997702">
      <w:rPr>
        <w:rFonts w:ascii="Calibri" w:hAnsi="Calibri" w:cs="Calibri"/>
        <w:szCs w:val="36"/>
      </w:rPr>
      <w:t>South Bay Regional Public Safety Training Consortium</w:t>
    </w:r>
  </w:p>
  <w:p w:rsidR="00F70CBD" w:rsidRDefault="00F70CBD" w:rsidP="00C32612">
    <w:pPr>
      <w:pStyle w:val="Subtitle"/>
      <w:rPr>
        <w:rFonts w:ascii="Calibri" w:hAnsi="Calibri" w:cs="Calibri"/>
        <w:szCs w:val="36"/>
      </w:rPr>
    </w:pPr>
    <w:r w:rsidRPr="00997702">
      <w:rPr>
        <w:rFonts w:ascii="Calibri" w:hAnsi="Calibri" w:cs="Calibri"/>
        <w:szCs w:val="36"/>
      </w:rPr>
      <w:t xml:space="preserve">CCN: </w:t>
    </w:r>
    <w:r w:rsidR="008C7F94">
      <w:rPr>
        <w:rFonts w:ascii="Calibri" w:hAnsi="Calibri" w:cs="Calibri"/>
        <w:szCs w:val="36"/>
      </w:rPr>
      <w:t>2540-32459</w:t>
    </w:r>
  </w:p>
  <w:p w:rsidR="00F70CBD" w:rsidRDefault="008C7F94" w:rsidP="00C32612">
    <w:pPr>
      <w:pStyle w:val="Subtitle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Revised 11/</w:t>
    </w:r>
    <w:r w:rsidR="00F70CBD">
      <w:rPr>
        <w:rFonts w:ascii="Calibri" w:hAnsi="Calibri" w:cs="Calibri"/>
        <w:sz w:val="28"/>
        <w:szCs w:val="28"/>
      </w:rPr>
      <w:t>1</w:t>
    </w:r>
    <w:r>
      <w:rPr>
        <w:rFonts w:ascii="Calibri" w:hAnsi="Calibri" w:cs="Calibri"/>
        <w:sz w:val="28"/>
        <w:szCs w:val="28"/>
      </w:rPr>
      <w:t>8/2019</w:t>
    </w:r>
  </w:p>
  <w:p w:rsidR="00F70CBD" w:rsidRDefault="00F70CBD" w:rsidP="00492065">
    <w:pPr>
      <w:jc w:val="center"/>
    </w:pPr>
    <w:r>
      <w:rPr>
        <w:rFonts w:ascii="Calibri" w:hAnsi="Calibri" w:cs="Calibri"/>
        <w:b/>
        <w:noProof/>
        <w:sz w:val="28"/>
      </w:rPr>
      <w:drawing>
        <wp:inline distT="0" distB="0" distL="0" distR="0" wp14:anchorId="1E494756" wp14:editId="7C4276FF">
          <wp:extent cx="1082040" cy="1082040"/>
          <wp:effectExtent l="0" t="0" r="3810" b="3810"/>
          <wp:docPr id="1" name="Picture 1" descr="TheRbtPressleyIC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RbtPressleyIC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232"/>
    <w:multiLevelType w:val="hybridMultilevel"/>
    <w:tmpl w:val="B0D43822"/>
    <w:lvl w:ilvl="0" w:tplc="144283EE">
      <w:start w:val="1"/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90F"/>
    <w:multiLevelType w:val="multilevel"/>
    <w:tmpl w:val="33140C6E"/>
    <w:lvl w:ilvl="0">
      <w:start w:val="19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29224D1"/>
    <w:multiLevelType w:val="multilevel"/>
    <w:tmpl w:val="8604BE4A"/>
    <w:lvl w:ilvl="0">
      <w:start w:val="43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65A26F9"/>
    <w:multiLevelType w:val="hybridMultilevel"/>
    <w:tmpl w:val="A4222076"/>
    <w:lvl w:ilvl="0" w:tplc="D9229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05913"/>
    <w:multiLevelType w:val="hybridMultilevel"/>
    <w:tmpl w:val="1CA428EC"/>
    <w:lvl w:ilvl="0" w:tplc="200A9100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1EA97A7D"/>
    <w:multiLevelType w:val="multilevel"/>
    <w:tmpl w:val="039E3B7E"/>
    <w:lvl w:ilvl="0">
      <w:start w:val="27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23897F64"/>
    <w:multiLevelType w:val="multilevel"/>
    <w:tmpl w:val="489E604E"/>
    <w:lvl w:ilvl="0">
      <w:start w:val="3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262473BB"/>
    <w:multiLevelType w:val="hybridMultilevel"/>
    <w:tmpl w:val="48881D4E"/>
    <w:lvl w:ilvl="0" w:tplc="FF3AFA20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E7C5BD1"/>
    <w:multiLevelType w:val="hybridMultilevel"/>
    <w:tmpl w:val="3CF4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6258"/>
    <w:multiLevelType w:val="hybridMultilevel"/>
    <w:tmpl w:val="3F065CDC"/>
    <w:lvl w:ilvl="0" w:tplc="8DD47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9580F"/>
    <w:multiLevelType w:val="multilevel"/>
    <w:tmpl w:val="4E4AEEFC"/>
    <w:lvl w:ilvl="0">
      <w:start w:val="7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5FB61667"/>
    <w:multiLevelType w:val="hybridMultilevel"/>
    <w:tmpl w:val="CC883B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1A42A7F"/>
    <w:multiLevelType w:val="multilevel"/>
    <w:tmpl w:val="7F9E3E2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649C7224"/>
    <w:multiLevelType w:val="hybridMultilevel"/>
    <w:tmpl w:val="C3BA48E4"/>
    <w:lvl w:ilvl="0" w:tplc="144283EE">
      <w:start w:val="1"/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6F4B"/>
    <w:multiLevelType w:val="hybridMultilevel"/>
    <w:tmpl w:val="C6F4234A"/>
    <w:lvl w:ilvl="0" w:tplc="50F09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0B6FFC"/>
    <w:multiLevelType w:val="multilevel"/>
    <w:tmpl w:val="D654D6D2"/>
    <w:styleLink w:val="IDIFormatting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017786C"/>
    <w:multiLevelType w:val="hybridMultilevel"/>
    <w:tmpl w:val="D4BA6AC2"/>
    <w:lvl w:ilvl="0" w:tplc="29CE0B6E">
      <w:start w:val="1"/>
      <w:numFmt w:val="bullet"/>
      <w:lvlText w:val="•"/>
      <w:lvlJc w:val="left"/>
      <w:pPr>
        <w:ind w:left="80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 w15:restartNumberingAfterBreak="0">
    <w:nsid w:val="714F4259"/>
    <w:multiLevelType w:val="hybridMultilevel"/>
    <w:tmpl w:val="3C1C5B9E"/>
    <w:lvl w:ilvl="0" w:tplc="9C8AF6F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0A5F51"/>
    <w:multiLevelType w:val="multilevel"/>
    <w:tmpl w:val="D654D6D2"/>
    <w:numStyleLink w:val="IDIFormatting"/>
  </w:abstractNum>
  <w:abstractNum w:abstractNumId="19" w15:restartNumberingAfterBreak="0">
    <w:nsid w:val="794226EA"/>
    <w:multiLevelType w:val="hybridMultilevel"/>
    <w:tmpl w:val="58AC3E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  <w:num w:numId="14">
    <w:abstractNumId w:val="8"/>
  </w:num>
  <w:num w:numId="15">
    <w:abstractNumId w:val="13"/>
  </w:num>
  <w:num w:numId="16">
    <w:abstractNumId w:val="0"/>
  </w:num>
  <w:num w:numId="17">
    <w:abstractNumId w:val="16"/>
  </w:num>
  <w:num w:numId="18">
    <w:abstractNumId w:val="17"/>
  </w:num>
  <w:num w:numId="19">
    <w:abstractNumId w:val="11"/>
  </w:num>
  <w:num w:numId="20">
    <w:abstractNumId w:val="15"/>
  </w:num>
  <w:num w:numId="21">
    <w:abstractNumId w:val="18"/>
    <w:lvlOverride w:ilvl="0">
      <w:lvl w:ilvl="0">
        <w:start w:val="1"/>
        <w:numFmt w:val="upperRoman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530"/>
          </w:tabs>
          <w:ind w:left="153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  <w:rPr>
          <w:rFonts w:ascii="Tahoma" w:eastAsiaTheme="minorHAnsi" w:hAnsi="Tahoma" w:cs="Tahoma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(%7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8B"/>
    <w:rsid w:val="000778A7"/>
    <w:rsid w:val="000A550E"/>
    <w:rsid w:val="000A5B7A"/>
    <w:rsid w:val="000B6142"/>
    <w:rsid w:val="000C704B"/>
    <w:rsid w:val="000D3ABA"/>
    <w:rsid w:val="000E3242"/>
    <w:rsid w:val="001A6794"/>
    <w:rsid w:val="001C2411"/>
    <w:rsid w:val="001D5CAA"/>
    <w:rsid w:val="00267F7C"/>
    <w:rsid w:val="002905AB"/>
    <w:rsid w:val="002A140C"/>
    <w:rsid w:val="002F6102"/>
    <w:rsid w:val="003221DB"/>
    <w:rsid w:val="003301B2"/>
    <w:rsid w:val="003C41DB"/>
    <w:rsid w:val="00412591"/>
    <w:rsid w:val="0041264D"/>
    <w:rsid w:val="00413B8B"/>
    <w:rsid w:val="00415AFC"/>
    <w:rsid w:val="004337F5"/>
    <w:rsid w:val="00437137"/>
    <w:rsid w:val="00456A4B"/>
    <w:rsid w:val="0048505E"/>
    <w:rsid w:val="00492065"/>
    <w:rsid w:val="004C3A6E"/>
    <w:rsid w:val="004C41ED"/>
    <w:rsid w:val="004C54D7"/>
    <w:rsid w:val="004F0E35"/>
    <w:rsid w:val="005375F7"/>
    <w:rsid w:val="00556F8A"/>
    <w:rsid w:val="00557CE8"/>
    <w:rsid w:val="005859F7"/>
    <w:rsid w:val="005B78E9"/>
    <w:rsid w:val="005F7129"/>
    <w:rsid w:val="00653E13"/>
    <w:rsid w:val="00673060"/>
    <w:rsid w:val="006D1042"/>
    <w:rsid w:val="006F4EF9"/>
    <w:rsid w:val="007165AB"/>
    <w:rsid w:val="00717618"/>
    <w:rsid w:val="00751B1E"/>
    <w:rsid w:val="0076115D"/>
    <w:rsid w:val="00803165"/>
    <w:rsid w:val="00835DF6"/>
    <w:rsid w:val="008739BA"/>
    <w:rsid w:val="00882338"/>
    <w:rsid w:val="008C6CE5"/>
    <w:rsid w:val="008C7F94"/>
    <w:rsid w:val="008D5C60"/>
    <w:rsid w:val="008F3307"/>
    <w:rsid w:val="009B331F"/>
    <w:rsid w:val="009E1F92"/>
    <w:rsid w:val="009F65BB"/>
    <w:rsid w:val="00A53034"/>
    <w:rsid w:val="00AD7327"/>
    <w:rsid w:val="00AE44FA"/>
    <w:rsid w:val="00B05D80"/>
    <w:rsid w:val="00B2446B"/>
    <w:rsid w:val="00BB572C"/>
    <w:rsid w:val="00C00492"/>
    <w:rsid w:val="00C15929"/>
    <w:rsid w:val="00C2766D"/>
    <w:rsid w:val="00C32612"/>
    <w:rsid w:val="00C53B8D"/>
    <w:rsid w:val="00C809ED"/>
    <w:rsid w:val="00C93F0B"/>
    <w:rsid w:val="00CC23CF"/>
    <w:rsid w:val="00CF0981"/>
    <w:rsid w:val="00CF2045"/>
    <w:rsid w:val="00D3077F"/>
    <w:rsid w:val="00D94C74"/>
    <w:rsid w:val="00DB1429"/>
    <w:rsid w:val="00DC7C0A"/>
    <w:rsid w:val="00E44BF6"/>
    <w:rsid w:val="00E569C8"/>
    <w:rsid w:val="00E610BC"/>
    <w:rsid w:val="00E915C4"/>
    <w:rsid w:val="00F70CB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10FC8A1-86D5-43C0-A700-0B4370C2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CE5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B8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3B8B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3B8B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3B8B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13B8B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13B8B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8B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8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B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3B8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13B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13B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13B8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13B8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8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8B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rsid w:val="00835DF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72C"/>
  </w:style>
  <w:style w:type="paragraph" w:styleId="Footer">
    <w:name w:val="footer"/>
    <w:basedOn w:val="Normal"/>
    <w:link w:val="FooterChar"/>
    <w:uiPriority w:val="99"/>
    <w:unhideWhenUsed/>
    <w:rsid w:val="00BB5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72C"/>
  </w:style>
  <w:style w:type="paragraph" w:styleId="BalloonText">
    <w:name w:val="Balloon Text"/>
    <w:basedOn w:val="Normal"/>
    <w:link w:val="BalloonTextChar"/>
    <w:uiPriority w:val="99"/>
    <w:semiHidden/>
    <w:unhideWhenUsed/>
    <w:rsid w:val="00C809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E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803165"/>
    <w:pPr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3165"/>
    <w:rPr>
      <w:rFonts w:ascii="Arial" w:eastAsia="Times New Roman" w:hAnsi="Arial" w:cs="Arial"/>
      <w:sz w:val="28"/>
      <w:szCs w:val="24"/>
    </w:rPr>
  </w:style>
  <w:style w:type="paragraph" w:styleId="Subtitle">
    <w:name w:val="Subtitle"/>
    <w:basedOn w:val="Normal"/>
    <w:link w:val="SubtitleChar"/>
    <w:uiPriority w:val="11"/>
    <w:qFormat/>
    <w:rsid w:val="00803165"/>
    <w:pPr>
      <w:jc w:val="center"/>
    </w:pPr>
    <w:rPr>
      <w:rFonts w:ascii="Arial" w:eastAsia="Times New Roman" w:hAnsi="Arial" w:cs="Arial"/>
      <w:b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3165"/>
    <w:rPr>
      <w:rFonts w:ascii="Arial" w:eastAsia="Times New Roman" w:hAnsi="Arial" w:cs="Arial"/>
      <w:b/>
      <w:bCs/>
      <w:sz w:val="36"/>
      <w:szCs w:val="24"/>
    </w:rPr>
  </w:style>
  <w:style w:type="numbering" w:customStyle="1" w:styleId="IDIFormatting">
    <w:name w:val="IDI Formatting"/>
    <w:uiPriority w:val="99"/>
    <w:rsid w:val="00B05D80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66A1-ECF9-456A-BDBE-12DADC0B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D09DB8B2</Template>
  <TotalTime>0</TotalTime>
  <Pages>7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</dc:creator>
  <cp:lastModifiedBy>Christopher Menge</cp:lastModifiedBy>
  <cp:revision>2</cp:revision>
  <cp:lastPrinted>2014-10-02T20:19:00Z</cp:lastPrinted>
  <dcterms:created xsi:type="dcterms:W3CDTF">2021-04-22T17:26:00Z</dcterms:created>
  <dcterms:modified xsi:type="dcterms:W3CDTF">2021-04-22T17:26:00Z</dcterms:modified>
</cp:coreProperties>
</file>